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93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61"/>
        <w:gridCol w:w="3377"/>
        <w:gridCol w:w="3408"/>
        <w:gridCol w:w="2651"/>
        <w:gridCol w:w="3377"/>
        <w:gridCol w:w="3061"/>
      </w:tblGrid>
      <w:tr w:rsidR="00B90E9F" w:rsidRPr="00C3544F" w14:paraId="5B50EAF9" w14:textId="77777777">
        <w:tc>
          <w:tcPr>
            <w:tcW w:w="3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100" w:type="dxa"/>
              <w:left w:w="60" w:type="dxa"/>
              <w:bottom w:w="110" w:type="dxa"/>
              <w:right w:w="60" w:type="dxa"/>
            </w:tcMar>
            <w:vAlign w:val="center"/>
          </w:tcPr>
          <w:p w14:paraId="1C32412E" w14:textId="10ED4BAC" w:rsidR="00B90E9F" w:rsidRPr="00C3544F" w:rsidRDefault="003E497F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FF3B58" wp14:editId="656EBAC8">
                  <wp:extent cx="1889125" cy="1079500"/>
                  <wp:effectExtent l="0" t="0" r="0" b="6350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847" cy="1083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3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EFB4093" w14:textId="77777777" w:rsidR="00B90E9F" w:rsidRPr="00C3544F" w:rsidRDefault="00DF56C2">
            <w:pPr>
              <w:spacing w:after="40"/>
              <w:jc w:val="center"/>
              <w:rPr>
                <w:rFonts w:ascii="Times New Roman" w:hAnsi="Times New Roman" w:cs="Times New Roman"/>
                <w:sz w:val="60"/>
                <w:szCs w:val="60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2A900"/>
                <w:sz w:val="60"/>
                <w:szCs w:val="60"/>
              </w:rPr>
              <w:t>S E M İ N E R</w:t>
            </w:r>
          </w:p>
          <w:p w14:paraId="17E93074" w14:textId="77777777" w:rsidR="00B90E9F" w:rsidRPr="00C3544F" w:rsidRDefault="00DF56C2">
            <w:pPr>
              <w:spacing w:after="8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40"/>
                <w:szCs w:val="40"/>
              </w:rPr>
              <w:t>KİMYA LABORATUVARLARINDA İŞ SAĞLIĞI VE GÜVENLİĞİ UYGULAMALARI</w:t>
            </w:r>
          </w:p>
          <w:p w14:paraId="67F49EF1" w14:textId="77777777" w:rsidR="00B90E9F" w:rsidRPr="00C3544F" w:rsidRDefault="00DF56C2">
            <w:pPr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i/>
                <w:iCs/>
                <w:color w:val="BFE9F2"/>
                <w:sz w:val="40"/>
                <w:szCs w:val="40"/>
              </w:rPr>
              <w:t>Tehlikenin Tanınması, Risk Değerlendirmesi ve Önleyici Kontrol Stratejileri</w:t>
            </w:r>
          </w:p>
        </w:tc>
        <w:tc>
          <w:tcPr>
            <w:tcW w:w="30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100" w:type="dxa"/>
              <w:left w:w="60" w:type="dxa"/>
              <w:bottom w:w="110" w:type="dxa"/>
              <w:right w:w="60" w:type="dxa"/>
            </w:tcMar>
            <w:vAlign w:val="center"/>
          </w:tcPr>
          <w:p w14:paraId="2E82645C" w14:textId="32C0C272" w:rsidR="00B90E9F" w:rsidRPr="00C3544F" w:rsidRDefault="00C3544F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9442C4B" wp14:editId="50D91328">
                  <wp:extent cx="1867535" cy="1111885"/>
                  <wp:effectExtent l="0" t="0" r="0" b="0"/>
                  <wp:docPr id="16" name="Resim 16" descr="Fen Dersi için Laboratuvar Güvenliği Kuralları, Etkinlikleri v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en Dersi için Laboratuvar Güvenliği Kuralları, Etkinlikleri v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535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E9F" w:rsidRPr="00C3544F" w14:paraId="4370494F" w14:textId="77777777">
        <w:tc>
          <w:tcPr>
            <w:tcW w:w="64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C8C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4A532C39" w14:textId="77777777" w:rsidR="00B90E9F" w:rsidRPr="00C3544F" w:rsidRDefault="00DF56C2">
            <w:pPr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D98A"/>
                <w:spacing w:val="40"/>
                <w:sz w:val="22"/>
                <w:szCs w:val="22"/>
              </w:rPr>
              <w:t>KONUŞMACI</w:t>
            </w:r>
          </w:p>
          <w:p w14:paraId="73D45168" w14:textId="23858859" w:rsidR="00B90E9F" w:rsidRPr="00C3544F" w:rsidRDefault="00C354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 xml:space="preserve">Öğr. Gör. </w:t>
            </w:r>
            <w:r w:rsidR="00DF56C2" w:rsidRPr="00C3544F"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İsmail AKŞİT</w:t>
            </w:r>
          </w:p>
          <w:p w14:paraId="334406A8" w14:textId="217F9C27" w:rsidR="00B90E9F" w:rsidRPr="00C3544F" w:rsidRDefault="00C354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DDF1F1"/>
                <w:sz w:val="22"/>
                <w:szCs w:val="22"/>
              </w:rPr>
              <w:t>Siirt Üniversitesi İş Sağlığı ve Güvenliği Koordinatörü Yardımcısı</w:t>
            </w:r>
          </w:p>
        </w:tc>
        <w:tc>
          <w:tcPr>
            <w:tcW w:w="34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7A7A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53C028E2" w14:textId="77777777" w:rsidR="00B90E9F" w:rsidRPr="00C3544F" w:rsidRDefault="00DF56C2">
            <w:pPr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D98A"/>
                <w:spacing w:val="40"/>
                <w:sz w:val="22"/>
                <w:szCs w:val="22"/>
              </w:rPr>
              <w:t>TARİH</w:t>
            </w:r>
          </w:p>
          <w:p w14:paraId="0DED3561" w14:textId="5E40CEDC" w:rsidR="00B90E9F" w:rsidRPr="00C3544F" w:rsidRDefault="00B80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21</w:t>
            </w:r>
            <w:r w:rsidR="00DF56C2" w:rsidRPr="00C3544F"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09</w:t>
            </w:r>
            <w:r w:rsidR="00DF56C2" w:rsidRPr="00C3544F"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2026</w:t>
            </w:r>
          </w:p>
        </w:tc>
        <w:tc>
          <w:tcPr>
            <w:tcW w:w="265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C8C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60258475" w14:textId="77777777" w:rsidR="00B90E9F" w:rsidRPr="00C3544F" w:rsidRDefault="00DF56C2">
            <w:pPr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D98A"/>
                <w:spacing w:val="40"/>
                <w:sz w:val="22"/>
                <w:szCs w:val="22"/>
              </w:rPr>
              <w:t>SAAT</w:t>
            </w:r>
          </w:p>
          <w:p w14:paraId="1A575B84" w14:textId="2F790FF7" w:rsidR="00B90E9F" w:rsidRPr="00C3544F" w:rsidRDefault="00B80E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14</w:t>
            </w:r>
            <w:r w:rsidR="00DF56C2" w:rsidRPr="00C3544F"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36"/>
                <w:szCs w:val="36"/>
              </w:rPr>
              <w:t>00</w:t>
            </w:r>
          </w:p>
        </w:tc>
        <w:tc>
          <w:tcPr>
            <w:tcW w:w="64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7A7A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14:paraId="245E96B8" w14:textId="77777777" w:rsidR="00B90E9F" w:rsidRPr="00C3544F" w:rsidRDefault="00DF56C2">
            <w:pPr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D98A"/>
                <w:spacing w:val="40"/>
                <w:sz w:val="22"/>
                <w:szCs w:val="22"/>
              </w:rPr>
              <w:t>YER</w:t>
            </w:r>
          </w:p>
          <w:p w14:paraId="5BC8DA6C" w14:textId="3D87992A" w:rsidR="00B90E9F" w:rsidRPr="00C3544F" w:rsidRDefault="00B80E5A">
            <w:pPr>
              <w:jc w:val="center"/>
              <w:rPr>
                <w:rFonts w:ascii="Times New Roman" w:hAnsi="Times New Roman" w:cs="Times New Roman"/>
              </w:rPr>
            </w:pPr>
            <w:r w:rsidRPr="00B80E5A">
              <w:rPr>
                <w:rFonts w:ascii="Times New Roman" w:hAnsi="Times New Roman" w:cs="Times New Roman"/>
                <w:b/>
                <w:bCs/>
                <w:color w:val="FFFFFF"/>
                <w:sz w:val="32"/>
                <w:szCs w:val="32"/>
              </w:rPr>
              <w:t>Fen Edebiyat Fakültesi Seminer Salonu</w:t>
            </w:r>
          </w:p>
        </w:tc>
      </w:tr>
    </w:tbl>
    <w:p w14:paraId="45B94101" w14:textId="77777777" w:rsidR="00B90E9F" w:rsidRPr="00C3544F" w:rsidRDefault="00B90E9F">
      <w:pPr>
        <w:spacing w:line="100" w:lineRule="exact"/>
        <w:rPr>
          <w:rFonts w:ascii="Times New Roman" w:hAnsi="Times New Roman" w:cs="Times New Roman"/>
        </w:rPr>
      </w:pPr>
    </w:p>
    <w:tbl>
      <w:tblPr>
        <w:tblW w:w="1893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19"/>
        <w:gridCol w:w="140"/>
        <w:gridCol w:w="6218"/>
        <w:gridCol w:w="140"/>
        <w:gridCol w:w="6218"/>
      </w:tblGrid>
      <w:tr w:rsidR="00B90E9F" w:rsidRPr="00C3544F" w14:paraId="55209A93" w14:textId="77777777" w:rsidTr="004A5E7A">
        <w:trPr>
          <w:cantSplit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6EFF8D04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1 · GİRİŞ VE KAPSAM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C17F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75F90677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2 · YASAL ÇERÇEVE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A018F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7C9AAE60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3 · RAMP VE RİSK DEĞERLENDİRMESİ</w:t>
            </w:r>
          </w:p>
        </w:tc>
      </w:tr>
      <w:tr w:rsidR="00B90E9F" w:rsidRPr="00C3544F" w14:paraId="0CFE7FB3" w14:textId="77777777" w:rsidTr="004A5E7A">
        <w:trPr>
          <w:cantSplit/>
        </w:trPr>
        <w:tc>
          <w:tcPr>
            <w:tcW w:w="6219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5ED6E36D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DE3C7CB" wp14:editId="293F204C">
                  <wp:extent cx="3166469" cy="1314450"/>
                  <wp:effectExtent l="0" t="0" r="0" b="0"/>
                  <wp:docPr id="3" name="hazards" descr="Kimya laboratuvarındaki başlıca tehlike kaynakları" title="Kimya laboratuvarındaki başlıca tehlike kaynaklar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3032" cy="1317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FA742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Kimya laboratuvarları; yanıcı, aşındırıcı, toksik ve reaktif maddelerin bir arada bulunduğu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yüksek riskli çalışma ortamlarıdır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. İSG uygulamalarının amacı tehlikeleri tanımlamak, maruziyeti önlemek ve kalıcı bir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güvenlik kültürü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oluşturmaktır.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086F0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51E577AF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1D622C" wp14:editId="094BF4AD">
                  <wp:extent cx="2880000" cy="1267317"/>
                  <wp:effectExtent l="0" t="0" r="0" b="0"/>
                  <wp:docPr id="4" name="legal" descr="İSG mevzuatının hiyerarşik yapısı" title="İSG mevzuatının hiyerarşik yapı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126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2D4DE3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Kimyasal maddelerle çalışma,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6331 sayılı İSG Kanunu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ve Kimyasal Maddelerle Çalışmalarda Sağlık ve Güvenlik Önlemleri Hakkında Yönetmelik (RG 12.08.2013/28733; son değ. 20.10.2023/32345) ile düzenlenir; risk değerlendirmesi, eğitim ve acil durum planı zorunludur.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EB16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7E747AF0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1F63749" wp14:editId="1DB3CC54">
                  <wp:extent cx="3168000" cy="1255610"/>
                  <wp:effectExtent l="0" t="0" r="0" b="0"/>
                  <wp:docPr id="5" name="ramp" descr="RAMP çerçevesi ve 5x5 risk matrisi" title="RAMP çerçevesi ve 5x5 risk matr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00" cy="125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9D421F" w14:textId="1E83872C" w:rsidR="00B90E9F" w:rsidRPr="00C3544F" w:rsidRDefault="00E93913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E93913">
              <w:rPr>
                <w:rFonts w:ascii="Times New Roman" w:hAnsi="Times New Roman" w:cs="Times New Roman"/>
                <w:sz w:val="21"/>
                <w:szCs w:val="21"/>
              </w:rPr>
              <w:t>Amerikan Kimya Derneği (</w:t>
            </w:r>
            <w:proofErr w:type="gramStart"/>
            <w:r w:rsidRPr="00E93913">
              <w:rPr>
                <w:rFonts w:ascii="Times New Roman" w:hAnsi="Times New Roman" w:cs="Times New Roman"/>
                <w:sz w:val="21"/>
                <w:szCs w:val="21"/>
              </w:rPr>
              <w:t>ACS -</w:t>
            </w:r>
            <w:proofErr w:type="gramEnd"/>
            <w:r w:rsidRPr="00E93913">
              <w:rPr>
                <w:rFonts w:ascii="Times New Roman" w:hAnsi="Times New Roman" w:cs="Times New Roman"/>
                <w:sz w:val="21"/>
                <w:szCs w:val="21"/>
              </w:rPr>
              <w:t xml:space="preserve"> American Chemical Society)</w:t>
            </w:r>
            <w:r w:rsidR="00DF56C2"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DF56C2"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RAMP</w:t>
            </w:r>
            <w:r w:rsidR="00DF56C2"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çerçevesi; tehlikeyi tanıma, riski değerlendirme, en aza indirme ve acil duruma hazırlanmayı esas alır. Risk, olasılık ve şiddetin çarpımıyla (</w:t>
            </w:r>
            <w:r w:rsidR="00DF56C2"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 = O × Ş</w:t>
            </w:r>
            <w:r w:rsidR="00DF56C2" w:rsidRPr="00C3544F">
              <w:rPr>
                <w:rFonts w:ascii="Times New Roman" w:hAnsi="Times New Roman" w:cs="Times New Roman"/>
                <w:sz w:val="21"/>
                <w:szCs w:val="21"/>
              </w:rPr>
              <w:t>) sınıflandırılır.</w:t>
            </w:r>
          </w:p>
        </w:tc>
      </w:tr>
      <w:tr w:rsidR="00B90E9F" w:rsidRPr="00C3544F" w14:paraId="24B60961" w14:textId="77777777" w:rsidTr="004A5E7A">
        <w:trPr>
          <w:trHeight w:hRule="exact" w:val="140"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A0BD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43AAB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7AF4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8AB66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29D8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</w:tr>
      <w:tr w:rsidR="00B90E9F" w:rsidRPr="00C3544F" w14:paraId="35101CFD" w14:textId="77777777" w:rsidTr="004A5E7A">
        <w:trPr>
          <w:cantSplit/>
        </w:trPr>
        <w:tc>
          <w:tcPr>
            <w:tcW w:w="12577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102E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769293C5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4 · TEHLİKE SINIFLARI: GHS/SEA PİKTOGRAMLARI VE NFPA 704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BDBFB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8102E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43733048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5 · ETİKET VE GÜVENLİK BİLGİ FORMU</w:t>
            </w:r>
          </w:p>
        </w:tc>
      </w:tr>
      <w:tr w:rsidR="00B90E9F" w:rsidRPr="00C3544F" w14:paraId="33D93ED5" w14:textId="77777777" w:rsidTr="004A5E7A">
        <w:trPr>
          <w:cantSplit/>
        </w:trPr>
        <w:tc>
          <w:tcPr>
            <w:tcW w:w="12577" w:type="dxa"/>
            <w:gridSpan w:val="3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4634DFCA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5B28012" wp14:editId="7BE7E5F0">
                  <wp:extent cx="6336000" cy="2045333"/>
                  <wp:effectExtent l="0" t="0" r="0" b="0"/>
                  <wp:docPr id="6" name="ghs" descr="GHS piktogramları ve NFPA 704 elması" title="GHS piktogramları ve NFPA 704 elmas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00" cy="2045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7A25F7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SEA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Yönetmeliği GHS/CLP ile uyumludur: dokuz piktogram, uyarı sözcüğü (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TEHLİKE / DİKKAT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) ile </w:t>
            </w:r>
            <w:r w:rsidRPr="00E93913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H ve P ifadeleri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tehlike profilini tek bakışta iletir.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NFPA 704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elması ise sağlık, yangın ve reaktivite düzeylerini 0–4 ölçeğinde göstererek depolama ve acil müdahale planlamasına katkı sağlar.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6FE9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6D452F29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A6D1942" wp14:editId="166EB034">
                  <wp:extent cx="3168000" cy="1456829"/>
                  <wp:effectExtent l="0" t="0" r="0" b="0"/>
                  <wp:docPr id="7" name="label" descr="Örnek kimyasal madde etiketi" title="Örnek kimyasal madde etike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00" cy="1456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2F18DB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Etiket; tanımlayıcı, piktogram, uyarı sözcüğü ve H/P ifadelerini taşır.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16 bölümlük GBF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elleçleme ve depolama (Böl. 7), KKD (Böl. 8) ve ilk yardım (Böl. 4) bilgisini sunar; her deneyden önce okunmalıdır.</w:t>
            </w:r>
          </w:p>
        </w:tc>
      </w:tr>
      <w:tr w:rsidR="00B90E9F" w:rsidRPr="00C3544F" w14:paraId="294051FC" w14:textId="77777777" w:rsidTr="004A5E7A">
        <w:trPr>
          <w:trHeight w:hRule="exact" w:val="140"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50D7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0B50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CF9A5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1F2E6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5817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</w:tr>
      <w:tr w:rsidR="00B90E9F" w:rsidRPr="00C3544F" w14:paraId="6FCCB074" w14:textId="77777777" w:rsidTr="004A5E7A">
        <w:trPr>
          <w:cantSplit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C8C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2395EC1E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6 · KONTROL HİYERARŞİSİ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FDE2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C8C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340BAFC7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7 · MÜHENDİSLİK KONTROLÜ: ÇEKER OCAK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3359E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C8C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5C0CBD72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8 · KİŞİSEL KORUYUCU DONANIM (KKD)</w:t>
            </w:r>
          </w:p>
        </w:tc>
      </w:tr>
      <w:tr w:rsidR="00B90E9F" w:rsidRPr="00C3544F" w14:paraId="6B9F58C8" w14:textId="77777777" w:rsidTr="004A5E7A">
        <w:trPr>
          <w:cantSplit/>
        </w:trPr>
        <w:tc>
          <w:tcPr>
            <w:tcW w:w="6219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1A9A3D84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F6A6959" wp14:editId="2058467D">
                  <wp:extent cx="3132000" cy="1199963"/>
                  <wp:effectExtent l="0" t="0" r="0" b="0"/>
                  <wp:docPr id="8" name="hier" descr="Kontrol hiyerarşisi" title="Kontrol hiyerarş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000" cy="1199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36AFAB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Önlemler etkinlik sırasıyla uygulanır: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eliminasyon/ikame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mühendislik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idari kontroller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ve son basamak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KKD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>. Yönetmelik de kaynakta önlemeyi kişisel korumanın önüne koyar.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0E3D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4374E8D7" w14:textId="3387BB1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94E400" wp14:editId="6BFBD5D9">
                  <wp:extent cx="3132000" cy="1263622"/>
                  <wp:effectExtent l="0" t="0" r="0" b="0"/>
                  <wp:docPr id="9" name="hood" descr="Çeker ocak kesiti" title="Çeker ocak kesi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000" cy="126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156029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Çeker ocak, buhar ve aerosolleri solunum bölgesinden uzaklaştıran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birincil toplu koruma önlemidir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>. Yüz hızı ≈ 0,4–0,6 m/s olmalı, sash çalışma yüksekliğinde tutulmalı, işlem ön açıklıktan ≈ 15 cm içeride yapılmalıdır.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6FFDB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2F622AE2" w14:textId="44D97D70" w:rsidR="00B90E9F" w:rsidRPr="00C3544F" w:rsidRDefault="004B2DC0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0FA5D91" wp14:editId="36EE5394">
                  <wp:extent cx="1910080" cy="1273930"/>
                  <wp:effectExtent l="0" t="0" r="0" b="2540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700" cy="1277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3EE06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KKD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son savunma hattıdır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>; seçimi GBF’ye, temas süresine ve koşullara göre yapılır. Eldivenlerde malzeme uyumu ve geçirgenlik süresi (EN ISO 374), gözlüklerde sıçrama koruması (EN 166) esastır.</w:t>
            </w:r>
          </w:p>
        </w:tc>
      </w:tr>
      <w:tr w:rsidR="00B90E9F" w:rsidRPr="00C3544F" w14:paraId="39BA5524" w14:textId="77777777" w:rsidTr="004A5E7A">
        <w:trPr>
          <w:trHeight w:hRule="exact" w:val="140"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F37B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9538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34F87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9AC7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88A1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</w:tr>
      <w:tr w:rsidR="00B90E9F" w:rsidRPr="00C3544F" w14:paraId="04FA5056" w14:textId="77777777" w:rsidTr="004A5E7A">
        <w:trPr>
          <w:cantSplit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541E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3C6118F3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9 · YANGIN GÜVENLİĞİ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6F811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57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FA8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4A67A38E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10 · KİMYASAL DEPOLAMA VE UYUMSUZLUK MATRİSİ</w:t>
            </w:r>
          </w:p>
        </w:tc>
      </w:tr>
      <w:tr w:rsidR="00B90E9F" w:rsidRPr="00C3544F" w14:paraId="6FFE2A35" w14:textId="77777777" w:rsidTr="004A5E7A">
        <w:trPr>
          <w:cantSplit/>
        </w:trPr>
        <w:tc>
          <w:tcPr>
            <w:tcW w:w="6219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11E8AD3D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D952ED7" wp14:editId="1F32B55D">
                  <wp:extent cx="3168000" cy="1266878"/>
                  <wp:effectExtent l="0" t="0" r="0" b="0"/>
                  <wp:docPr id="11" name="fire" descr="Yangın üçgeni ve yangın sınıfları" title="Yangın üçgeni ve yangın sınıflar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00" cy="1266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4AC744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Yanıcı çözücü, ısı kaynağı ve yükseltgenlerin birlikteliği yangın/patlama riskini artırır. Yanıcı sıvı miktarı asgari tutulmalı, söndürücü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yangın sınıfına uygun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seçilmelidir.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B47D5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576" w:type="dxa"/>
            <w:gridSpan w:val="3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1A8F7ED6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76480A8" wp14:editId="65A89EFF">
                  <wp:extent cx="6552000" cy="1812909"/>
                  <wp:effectExtent l="0" t="0" r="0" b="0"/>
                  <wp:docPr id="12" name="storage" descr="Kimyasal uyumsuzluk matrisi ve depolama dolapları" title="Kimyasal uyumsuzluk matrisi ve depolama dolaplar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000" cy="181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1A406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Depolama alfabetik değil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tehlike sınıfına göre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yapılmalıdır; asit–baz, yükseltgen–yanıcı ve suyla reaktif–sulu ortam birleşimleri ısı, zehirli gaz veya yangın oluşturabilir. Matris genel bir yönlendirmedir; nihai karar GBF Böl. 7 ve 10’a göre verilir.</w:t>
            </w:r>
          </w:p>
        </w:tc>
      </w:tr>
      <w:tr w:rsidR="00B90E9F" w:rsidRPr="00C3544F" w14:paraId="77D84A7A" w14:textId="77777777" w:rsidTr="004A5E7A">
        <w:trPr>
          <w:trHeight w:hRule="exact" w:val="140"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1DA8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C66CF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F68F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7A07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5394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</w:tr>
      <w:tr w:rsidR="00B90E9F" w:rsidRPr="00C3544F" w14:paraId="27BD6D95" w14:textId="77777777" w:rsidTr="004A5E7A">
        <w:trPr>
          <w:cantSplit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9541E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3FAE11DF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11 · DÖKÜNTÜ VE ACİL MÜDAHALE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730D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5FA8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0A7A87CD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12 · ATIK YÖNETİMİ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814B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5644C81A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13 · İYİ LABORATUVAR UYGULAMALARI</w:t>
            </w:r>
          </w:p>
        </w:tc>
      </w:tr>
      <w:tr w:rsidR="00B90E9F" w:rsidRPr="00C3544F" w14:paraId="76EF3340" w14:textId="77777777" w:rsidTr="004A5E7A">
        <w:trPr>
          <w:cantSplit/>
        </w:trPr>
        <w:tc>
          <w:tcPr>
            <w:tcW w:w="6219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2921A254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0E8811E" wp14:editId="42AE25A1">
                  <wp:extent cx="3024000" cy="1209293"/>
                  <wp:effectExtent l="0" t="0" r="0" b="0"/>
                  <wp:docPr id="13" name="spill" descr="Kimyasal döküntü müdahale adımları" title="Kimyasal döküntü müdahale adımlar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000" cy="1209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5D4902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Müdahale önceden planlanmalı, döküntü kitleri hazır bulunmalıdır. Göz/cilt temasında bölge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en az 15 dakika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bol suyla yıkanmalı; göz ve güvenlik duşlarına erişim engelsiz olmalıdır.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6990F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58EAAB4A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E66123" wp14:editId="7A2958C6">
                  <wp:extent cx="3168000" cy="1139707"/>
                  <wp:effectExtent l="0" t="0" r="0" b="0"/>
                  <wp:docPr id="14" name="waste" descr="Laboratuvar atık ayrıştırma" title="Laboratuvar atık ayrıştır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00" cy="1139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BA23BA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Atıklar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kaynağında ayrıştırılmalı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>, uyumsuzlar karıştırılmamalı, kaplar etiketlenip kapalı tutulmalı ve lisanslı firmalarca bertaraf edilmelidir; lavaboya boşaltılmaz.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97B5A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05FDEAF0" w14:textId="77777777" w:rsidR="00B90E9F" w:rsidRPr="00C3544F" w:rsidRDefault="00DF56C2">
            <w:pPr>
              <w:spacing w:before="40" w:after="80"/>
              <w:jc w:val="center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3F94B3" wp14:editId="653858BD">
                  <wp:extent cx="3024000" cy="1209293"/>
                  <wp:effectExtent l="0" t="0" r="0" b="0"/>
                  <wp:docPr id="15" name="dodont" descr="Yapılması ve yapılmaması gerekenler" title="Yapılması ve yapılmaması gereken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000" cy="1209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AB859" w14:textId="77777777" w:rsidR="00B90E9F" w:rsidRPr="00C3544F" w:rsidRDefault="00DF56C2">
            <w:pPr>
              <w:spacing w:after="5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Güvenli davranış, kural bilgisinden çok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alışkanlıktır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>: deney öncesi risk gözden geçirmesi, düzenli çalışma alanı, ramak kala ve olay bildirimi.</w:t>
            </w:r>
          </w:p>
        </w:tc>
      </w:tr>
      <w:tr w:rsidR="00B90E9F" w:rsidRPr="00C3544F" w14:paraId="59B66A7B" w14:textId="77777777" w:rsidTr="004A5E7A">
        <w:trPr>
          <w:trHeight w:hRule="exact" w:val="140"/>
        </w:trPr>
        <w:tc>
          <w:tcPr>
            <w:tcW w:w="62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E2771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C0A5E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9CB3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7616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1BF5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</w:tr>
      <w:tr w:rsidR="00B90E9F" w:rsidRPr="00C3544F" w14:paraId="164C3CA5" w14:textId="77777777" w:rsidTr="004A5E7A">
        <w:trPr>
          <w:cantSplit/>
        </w:trPr>
        <w:tc>
          <w:tcPr>
            <w:tcW w:w="12577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B2545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461FE0DA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SONUÇ VE ÖNERİLER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E1D0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E8C8C"/>
            <w:tcMar>
              <w:top w:w="70" w:type="dxa"/>
              <w:left w:w="180" w:type="dxa"/>
              <w:bottom w:w="70" w:type="dxa"/>
              <w:right w:w="180" w:type="dxa"/>
            </w:tcMar>
            <w:vAlign w:val="center"/>
          </w:tcPr>
          <w:p w14:paraId="7340C180" w14:textId="77777777" w:rsidR="00B90E9F" w:rsidRPr="00C3544F" w:rsidRDefault="00DF56C2">
            <w:pPr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color w:val="FFFFFF"/>
                <w:sz w:val="25"/>
                <w:szCs w:val="25"/>
              </w:rPr>
              <w:t>KAYNAKLAR</w:t>
            </w:r>
          </w:p>
        </w:tc>
      </w:tr>
      <w:tr w:rsidR="00B90E9F" w:rsidRPr="00C3544F" w14:paraId="66A92D1C" w14:textId="77777777" w:rsidTr="004A5E7A">
        <w:trPr>
          <w:cantSplit/>
        </w:trPr>
        <w:tc>
          <w:tcPr>
            <w:tcW w:w="12577" w:type="dxa"/>
            <w:gridSpan w:val="3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05BF4436" w14:textId="77777777" w:rsidR="00B90E9F" w:rsidRPr="00C3544F" w:rsidRDefault="00DF56C2">
            <w:pPr>
              <w:spacing w:after="30" w:line="245" w:lineRule="auto"/>
              <w:jc w:val="both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Laboratuvar güvenliği; tehlikelerin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proaktif tanınması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, riskin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sistematik değerlendirilmesi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ve önlemlerin </w:t>
            </w:r>
            <w:r w:rsidRPr="00C354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kontrol hiyerarşisine uygun</w:t>
            </w:r>
            <w:r w:rsidRPr="00C3544F">
              <w:rPr>
                <w:rFonts w:ascii="Times New Roman" w:hAnsi="Times New Roman" w:cs="Times New Roman"/>
                <w:sz w:val="21"/>
                <w:szCs w:val="21"/>
              </w:rPr>
              <w:t xml:space="preserve"> uygulanmasıyla sağlanır. Sürekli eğitim, denetim, kayıt tutma ve katılımcı güvenlik kültürü, kaza ve meslek hastalıklarının önlenmesinin anahtarıdır.</w:t>
            </w:r>
          </w:p>
          <w:p w14:paraId="15A87CEC" w14:textId="77777777" w:rsidR="00B90E9F" w:rsidRPr="00C3544F" w:rsidRDefault="00DF56C2">
            <w:pPr>
              <w:spacing w:line="245" w:lineRule="auto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b/>
                <w:bCs/>
                <w:i/>
                <w:iCs/>
                <w:color w:val="0E8C8C"/>
                <w:sz w:val="26"/>
                <w:szCs w:val="26"/>
              </w:rPr>
              <w:t>Kimya laboratuvarlarında güvenlik bir tercih değil, ortak sorumluluktur.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3123" w14:textId="77777777" w:rsidR="00B90E9F" w:rsidRPr="00C3544F" w:rsidRDefault="00B90E9F">
            <w:pPr>
              <w:spacing w:line="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218" w:type="dxa"/>
            <w:tcBorders>
              <w:top w:val="single" w:sz="6" w:space="0" w:color="C9D9E1"/>
              <w:left w:val="single" w:sz="6" w:space="0" w:color="C9D9E1"/>
              <w:bottom w:val="single" w:sz="6" w:space="0" w:color="C9D9E1"/>
              <w:right w:val="single" w:sz="6" w:space="0" w:color="C9D9E1"/>
            </w:tcBorders>
            <w:shd w:val="clear" w:color="auto" w:fill="F3F8FA"/>
            <w:tcMar>
              <w:top w:w="100" w:type="dxa"/>
              <w:left w:w="180" w:type="dxa"/>
              <w:bottom w:w="110" w:type="dxa"/>
              <w:right w:w="180" w:type="dxa"/>
            </w:tcMar>
          </w:tcPr>
          <w:p w14:paraId="09E30FE4" w14:textId="77777777" w:rsidR="00B90E9F" w:rsidRPr="00C3544F" w:rsidRDefault="00DF56C2">
            <w:pPr>
              <w:spacing w:after="10" w:line="220" w:lineRule="auto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17"/>
                <w:szCs w:val="17"/>
              </w:rPr>
              <w:t>[1] 6331 sayılı İSG Kanunu; Kimyasal Maddelerle Çalışmalarda Sağlık ve Güvenlik Önlemleri Hakkında Yönetmelik (RG 12.08.2013/28733).</w:t>
            </w:r>
          </w:p>
          <w:p w14:paraId="66E56130" w14:textId="77777777" w:rsidR="00B90E9F" w:rsidRPr="00C3544F" w:rsidRDefault="00DF56C2">
            <w:pPr>
              <w:spacing w:after="10" w:line="220" w:lineRule="auto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17"/>
                <w:szCs w:val="17"/>
              </w:rPr>
              <w:t>[2] SEA Yönetmeliği (Sınıflandırma, Etiketleme ve Ambalajlama); KKDİK Yönetmeliği.</w:t>
            </w:r>
          </w:p>
          <w:p w14:paraId="08CE5398" w14:textId="77777777" w:rsidR="00B90E9F" w:rsidRPr="00C3544F" w:rsidRDefault="00DF56C2">
            <w:pPr>
              <w:spacing w:after="10" w:line="220" w:lineRule="auto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17"/>
                <w:szCs w:val="17"/>
              </w:rPr>
              <w:t>[3] ACS Committee on Chemical Safety (2017). Safety in Academic Chemistry Laboratories, 8th ed.</w:t>
            </w:r>
          </w:p>
          <w:p w14:paraId="6E69A9EF" w14:textId="77777777" w:rsidR="00B90E9F" w:rsidRPr="00C3544F" w:rsidRDefault="00DF56C2">
            <w:pPr>
              <w:spacing w:after="10" w:line="220" w:lineRule="auto"/>
              <w:rPr>
                <w:rFonts w:ascii="Times New Roman" w:hAnsi="Times New Roman" w:cs="Times New Roman"/>
              </w:rPr>
            </w:pPr>
            <w:r w:rsidRPr="00C3544F">
              <w:rPr>
                <w:rFonts w:ascii="Times New Roman" w:hAnsi="Times New Roman" w:cs="Times New Roman"/>
                <w:sz w:val="17"/>
                <w:szCs w:val="17"/>
              </w:rPr>
              <w:t>[4] National Research Council (2011). Prudent Practices in the Laboratory. NAP.</w:t>
            </w:r>
          </w:p>
        </w:tc>
      </w:tr>
    </w:tbl>
    <w:p w14:paraId="03346B9C" w14:textId="79213C51" w:rsidR="00E5603A" w:rsidRDefault="004A5E7A" w:rsidP="004A5E7A">
      <w:pPr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4A5E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Bu afişin içerik taslağı ve görsel tasarımı, yazar denetiminde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üretken</w:t>
      </w:r>
      <w:r w:rsidRPr="004A5E7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yapay zekâ desteğiyle (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Gemini, </w:t>
      </w:r>
      <w:r w:rsidRPr="004A5E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Claude, Anthropic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gibi</w:t>
      </w:r>
      <w:r w:rsidRPr="004A5E7A">
        <w:rPr>
          <w:rFonts w:ascii="Times New Roman" w:hAnsi="Times New Roman" w:cs="Times New Roman"/>
          <w:b/>
          <w:bCs/>
          <w:i/>
          <w:iCs/>
          <w:sz w:val="20"/>
          <w:szCs w:val="20"/>
        </w:rPr>
        <w:t>) hazırlanmıştır.</w:t>
      </w:r>
    </w:p>
    <w:sectPr w:rsidR="00E5603A">
      <w:pgSz w:w="19843" w:h="28346"/>
      <w:pgMar w:top="454" w:right="454" w:bottom="454" w:left="45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64F80"/>
    <w:multiLevelType w:val="hybridMultilevel"/>
    <w:tmpl w:val="647EA4D8"/>
    <w:lvl w:ilvl="0" w:tplc="95DC97A0">
      <w:start w:val="1"/>
      <w:numFmt w:val="bullet"/>
      <w:lvlText w:val="●"/>
      <w:lvlJc w:val="left"/>
      <w:pPr>
        <w:ind w:left="720" w:hanging="360"/>
      </w:pPr>
    </w:lvl>
    <w:lvl w:ilvl="1" w:tplc="77185770">
      <w:start w:val="1"/>
      <w:numFmt w:val="bullet"/>
      <w:lvlText w:val="○"/>
      <w:lvlJc w:val="left"/>
      <w:pPr>
        <w:ind w:left="1440" w:hanging="360"/>
      </w:pPr>
    </w:lvl>
    <w:lvl w:ilvl="2" w:tplc="F3E2AD7C">
      <w:start w:val="1"/>
      <w:numFmt w:val="bullet"/>
      <w:lvlText w:val="■"/>
      <w:lvlJc w:val="left"/>
      <w:pPr>
        <w:ind w:left="2160" w:hanging="360"/>
      </w:pPr>
    </w:lvl>
    <w:lvl w:ilvl="3" w:tplc="141025F2">
      <w:start w:val="1"/>
      <w:numFmt w:val="bullet"/>
      <w:lvlText w:val="●"/>
      <w:lvlJc w:val="left"/>
      <w:pPr>
        <w:ind w:left="2880" w:hanging="360"/>
      </w:pPr>
    </w:lvl>
    <w:lvl w:ilvl="4" w:tplc="1D3AAC7C">
      <w:start w:val="1"/>
      <w:numFmt w:val="bullet"/>
      <w:lvlText w:val="○"/>
      <w:lvlJc w:val="left"/>
      <w:pPr>
        <w:ind w:left="3600" w:hanging="360"/>
      </w:pPr>
    </w:lvl>
    <w:lvl w:ilvl="5" w:tplc="BCD6EC90">
      <w:start w:val="1"/>
      <w:numFmt w:val="bullet"/>
      <w:lvlText w:val="■"/>
      <w:lvlJc w:val="left"/>
      <w:pPr>
        <w:ind w:left="4320" w:hanging="360"/>
      </w:pPr>
    </w:lvl>
    <w:lvl w:ilvl="6" w:tplc="E4460BC2">
      <w:start w:val="1"/>
      <w:numFmt w:val="bullet"/>
      <w:lvlText w:val="●"/>
      <w:lvlJc w:val="left"/>
      <w:pPr>
        <w:ind w:left="5040" w:hanging="360"/>
      </w:pPr>
    </w:lvl>
    <w:lvl w:ilvl="7" w:tplc="5D20105C">
      <w:start w:val="1"/>
      <w:numFmt w:val="bullet"/>
      <w:lvlText w:val="●"/>
      <w:lvlJc w:val="left"/>
      <w:pPr>
        <w:ind w:left="5760" w:hanging="360"/>
      </w:pPr>
    </w:lvl>
    <w:lvl w:ilvl="8" w:tplc="F5FA13B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E9F"/>
    <w:rsid w:val="00237F44"/>
    <w:rsid w:val="003E497F"/>
    <w:rsid w:val="004A5E7A"/>
    <w:rsid w:val="004B2DC0"/>
    <w:rsid w:val="00B80E5A"/>
    <w:rsid w:val="00B90E9F"/>
    <w:rsid w:val="00C3544F"/>
    <w:rsid w:val="00DF56C2"/>
    <w:rsid w:val="00E5603A"/>
    <w:rsid w:val="00E9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E062"/>
  <w15:docId w15:val="{96CB9B78-DA55-4A2E-A923-37FA96DC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3"/>
        <w:szCs w:val="23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Kimya Laboratuvarlarında İş Sağlığı ve Güvenliği Uygulamaları – Seminer Posteri</vt:lpstr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Kimya Laboratuvarlarında İş Sağlığı ve Güvenliği Uygulamaları – Seminer Posteri</dc:title>
  <dc:creator>İsmail AKŞİT</dc:creator>
  <cp:lastModifiedBy>ismail akşit</cp:lastModifiedBy>
  <cp:revision>5</cp:revision>
  <dcterms:created xsi:type="dcterms:W3CDTF">2026-09-18T20:02:00Z</dcterms:created>
  <dcterms:modified xsi:type="dcterms:W3CDTF">2026-09-20T11:18:00Z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5f238432-36ad-4a0f-b00f-983c19fa6aa4</vt:lpwstr>
  </property>
</Properties>
</file>